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5F4" w:rsidP="004230C4" w:rsidRDefault="006335F4" w14:paraId="31F3006C" w14:textId="77777777">
      <w:pPr>
        <w:spacing w:after="0" w:line="240" w:lineRule="auto"/>
        <w:jc w:val="both"/>
        <w:rPr>
          <w:rFonts w:ascii="Aptos" w:hAnsi="Aptos" w:eastAsia="Aptos" w:cs="Aptos" w:asciiTheme="minorAscii" w:hAnsiTheme="minorAscii" w:eastAsiaTheme="minorAscii" w:cstheme="minorAscii"/>
          <w:b w:val="1"/>
          <w:bCs w:val="1"/>
          <w:color w:val="000000" w:themeColor="text1" w:themeTint="FF" w:themeShade="FF"/>
          <w:sz w:val="24"/>
          <w:szCs w:val="24"/>
          <w:lang w:val="en-US"/>
        </w:rPr>
      </w:pP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Waarom</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Pijnonderzoek</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Belangrijk</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 xml:space="preserve"> Is</w:t>
      </w:r>
    </w:p>
    <w:p w:rsidRPr="006335F4" w:rsidR="006335F4" w:rsidP="004230C4" w:rsidRDefault="006335F4" w14:paraId="61DC9BF9"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en-US"/>
        </w:rPr>
      </w:pPr>
    </w:p>
    <w:p w:rsidRPr="006335F4" w:rsidR="006335F4" w:rsidP="004230C4" w:rsidRDefault="006335F4" w14:paraId="526403D4"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en-US"/>
        </w:rPr>
      </w:pP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Inleiding</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 xml:space="preserve">: Wat is het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probleem</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en-US"/>
        </w:rPr>
        <w:t>?</w:t>
      </w:r>
    </w:p>
    <w:p w:rsidR="006335F4" w:rsidP="004230C4" w:rsidRDefault="006335F4" w14:paraId="61F3B8A0" w14:textId="736CC472">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meest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voorkomende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reden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waarom</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mensen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in Europa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medische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hulp</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zoeken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Korte,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acute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zoals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bij</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verwonding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heeft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beschermende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functie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maar</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langdurige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of</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chronische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langer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dan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drie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maanden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aanhoudt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kan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iemands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levenskwaliteit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ernstig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aantasten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Het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beïnvloedt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niet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alleen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fysieke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mentale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gezondheid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maar</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ook</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werk,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onderwijs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relaties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Chronische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of</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langdurige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symptoom</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maar</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ernstig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gezondheidsprobleem</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zichzelf</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4E6DFC37"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006335F4" w:rsidP="004230C4" w:rsidRDefault="006335F4" w14:paraId="5DFEBF72"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Chronische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ook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niet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enkel</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individueel</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probleem</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vormt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structurele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uitdaging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economische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productiviteit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ondermijnt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druk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legt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gezondheidszorgsystemen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sociale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ongelijkheid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vergroot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Europese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Unie. Meer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dan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150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miljoen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Europeanen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worden getroffen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chronische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Dit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vraagt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om</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dringende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politieke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aandacht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gecoördineerd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beleid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4E1AF757"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006335F4" w:rsidP="004230C4" w:rsidRDefault="006335F4" w14:paraId="110352C8" w14:textId="187346D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De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economische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kosten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enorm: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schattingen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geven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aan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dat de totale last van chronische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in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veel</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EU-</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lidstaten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tussen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de 1,5% en 4% van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BBP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bedraagt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kosten worden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veroorzaakt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door</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productiviteitsverlies</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langdurig</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ziekteverzuim</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vervroegde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pensionering</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toename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in de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vraag</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naar</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zorg</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sociale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diensten. In praktische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termen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gaat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om</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miljarden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euro’s</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jaarlijks</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verloren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gaan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met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belangrijke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impact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nationale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begrotingen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concurrentievermogen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de EU.</w:t>
      </w:r>
    </w:p>
    <w:p w:rsidRPr="006335F4" w:rsidR="006335F4" w:rsidP="004230C4" w:rsidRDefault="006335F4" w14:paraId="334B05CC"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006335F4" w:rsidP="004230C4" w:rsidRDefault="006335F4" w14:paraId="478B7861"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Maar de kosten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niet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alleen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economisch</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Chronische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treft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vrouwen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ouderen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mensen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laag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inkomen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onevenredig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hard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waardoor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armoede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werkloosheid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slechte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gezondheid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 stand worden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gehouden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Zonder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actie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zal</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deze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dynamiek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sociale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uitsluiting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blijven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voeden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gezondheidsverschillen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vergroten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vooruitgang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richting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doelstellingen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Europese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Pijler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Sociale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Rechten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gezondheidsgelijkheid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ondermijnen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0E709C2D"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Pr="006335F4" w:rsidR="006335F4" w:rsidP="004230C4" w:rsidRDefault="006335F4" w14:paraId="4C960425"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Toch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krijgt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nog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steeds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weinig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prioriteit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 EU-</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beleid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onderzoeksprogramma’s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huidige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inspanningen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versnipperd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ondergefinancierd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onvoldoende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afgestemd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klinische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realiteit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Innovatie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wordt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afgeremd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gebrek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aan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coördinatie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inconsistente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data</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ontbreken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strategische EU-</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brede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onderzoeksagenda</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t>
      </w:r>
    </w:p>
    <w:p w:rsidR="006335F4" w:rsidP="004230C4" w:rsidRDefault="006335F4" w14:paraId="3229D04A" w14:textId="0EB84CF6">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Er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omslag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nodig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niet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alleen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in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hoe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behandelen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maar</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oo</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k</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hoe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begrijpen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onderzoeken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financieren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Europese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Unie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moet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chronische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beschouwen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als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prioriteit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gebied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volksgezondheid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economie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Dat vereist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gecoördineerd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onderzoeksbeleid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dat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aansluit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bij</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Horizon Europa, de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kloof</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tussen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wetenschappelijke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ontdekking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klinische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toepassing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overbrugt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ervoor</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zorgt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dat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innovatie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iedereen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in Europa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bereikt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ongeacht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inkomen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leeftijd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of</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woonplaats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68946240"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Pr="006335F4" w:rsidR="006335F4" w:rsidP="004230C4" w:rsidRDefault="006335F4" w14:paraId="0928805A"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Oproep</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tot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Actie</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Gecoördineerde</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Europese</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Strategie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voor</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Pijnonderzoek</w:t>
      </w:r>
    </w:p>
    <w:p w:rsidR="006335F4" w:rsidP="004230C4" w:rsidRDefault="006335F4" w14:paraId="71D0AB86" w14:textId="7F1B5CE3">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Om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deze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uitdagingen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aan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pakken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heeft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de European Pain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Federation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(EFIC)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uitgebreide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Pijnonderzoeksstrategie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voor</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Europa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ontwikkeld</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Deze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strategie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biedt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duidelijk</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evidentie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gebaseerd</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pad</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om</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deze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leemte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aan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pakken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52034A71"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006335F4" w:rsidP="004230C4" w:rsidRDefault="006335F4" w14:paraId="6D5121AC" w14:textId="2ABCDD77">
      <w:pPr>
        <w:pStyle w:val="Normal"/>
        <w:suppressLineNumbers w:val="0"/>
        <w:spacing w:before="0" w:beforeAutospacing="off" w:after="0" w:afterAutospacing="off" w:line="240" w:lineRule="auto"/>
        <w:ind w:left="0" w:right="0"/>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werd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ontwikkeld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met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input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clinici</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onderzoekers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mensen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met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leven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presenteert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gezamenlijke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Europese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visie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pijnonderzoek</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De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ze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strategie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vermijdt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dubbel</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werk</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adresseert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slecht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afgestemde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prioriteiten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verspilling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Via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grensoverschrijdende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coördinatie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kan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gezondheidsstelsels</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versterken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financiering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sturen en tastbare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voordelen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opleveren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voor</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patiënten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zo</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bijdragen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aan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de EU-</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doelen</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rond</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innovatie</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digitale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zorg</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levenskwaliteit</w:t>
      </w:r>
      <w:r w:rsidRPr="004230C4" w:rsidR="5CE1ACC1">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7B3F03DC"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Pr="006335F4" w:rsidR="006335F4" w:rsidP="004230C4" w:rsidRDefault="006335F4" w14:paraId="5C85B633"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Strategische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Prioriteiten</w:t>
      </w:r>
    </w:p>
    <w:p w:rsidRPr="006335F4" w:rsidR="006335F4" w:rsidP="004230C4" w:rsidRDefault="006335F4" w14:paraId="10AB9FF7"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heeft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vijf</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belangrijke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onderzoeksdoelstellingen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geïdentificeerd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23248D9D" w14:textId="77777777">
      <w:pPr>
        <w:numPr>
          <w:ilvl w:val="0"/>
          <w:numId w:val="14"/>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beter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begrijpen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factoren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bestuderen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erop</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invloed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zoals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biologische, psychologische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sociale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factoren</w:t>
      </w:r>
    </w:p>
    <w:p w:rsidRPr="006335F4" w:rsidR="006335F4" w:rsidP="004230C4" w:rsidRDefault="006335F4" w14:paraId="4C59936E" w14:textId="77777777">
      <w:pPr>
        <w:numPr>
          <w:ilvl w:val="0"/>
          <w:numId w:val="14"/>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Aandoeningen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bestuderen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beïnvloeden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of</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worden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beïnvloed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zoals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depressie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slaapproblemen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obesitas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hoe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uitkomst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behandelingen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beïnvloeden</w:t>
      </w:r>
    </w:p>
    <w:p w:rsidRPr="006335F4" w:rsidR="006335F4" w:rsidP="004230C4" w:rsidRDefault="006335F4" w14:paraId="2379C32C" w14:textId="77777777">
      <w:pPr>
        <w:numPr>
          <w:ilvl w:val="0"/>
          <w:numId w:val="14"/>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Huidige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nieuwe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behandelingen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evalueren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waaronder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medicatie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fysiotherapie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gedragsmatige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benaderingen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om</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bepalen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wat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beste werkt</w:t>
      </w:r>
    </w:p>
    <w:p w:rsidRPr="006335F4" w:rsidR="006335F4" w:rsidP="004230C4" w:rsidRDefault="006335F4" w14:paraId="11412B28" w14:textId="77777777">
      <w:pPr>
        <w:numPr>
          <w:ilvl w:val="0"/>
          <w:numId w:val="14"/>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Nieuwe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gepersonaliseerde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behandelingen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ontwikkelen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die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afgestemd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individuele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behoeften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patiënten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behulp</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nieuwe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technologieën</w:t>
      </w:r>
    </w:p>
    <w:p w:rsidR="006335F4" w:rsidP="004230C4" w:rsidRDefault="006335F4" w14:paraId="0C214B8A" w14:textId="77777777">
      <w:pPr>
        <w:numPr>
          <w:ilvl w:val="0"/>
          <w:numId w:val="14"/>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hoe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samenleving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economie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beïnvloedt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om</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betere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gezondheidsplanning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beleidsbeslissingen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mogelijk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maken</w:t>
      </w:r>
    </w:p>
    <w:p w:rsidRPr="006335F4" w:rsidR="006335F4" w:rsidP="004230C4" w:rsidRDefault="006335F4" w14:paraId="6D7E2C77"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Pr="006335F4" w:rsidR="006335F4" w:rsidP="004230C4" w:rsidRDefault="006335F4" w14:paraId="745BB4D6"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Van Strategie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naar</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Impact</w:t>
      </w:r>
    </w:p>
    <w:p w:rsidR="006335F4" w:rsidP="004230C4" w:rsidRDefault="006335F4" w14:paraId="7D356F6C" w14:textId="35120913">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prioriteit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de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-strategie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is</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dat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onderzoek</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leidt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tot echte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verandering</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Studies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moeten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relevant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voor</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clinici</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beleidsmakers</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én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mensen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met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Onderzoek</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moet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ook</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beter</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vergelijkbaar</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bijvoorbeeld</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door</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ge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standaard</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iseerde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meetmethoden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gebruiken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patiënten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betrekken</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bij</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opzet</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studies</w:t>
      </w:r>
      <w:r w:rsidRPr="004230C4" w:rsidR="47D38E99">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2FD89ABC"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006335F4" w:rsidP="004230C4" w:rsidRDefault="006335F4" w14:paraId="060081D7"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Recent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toont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aan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dat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combineren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verschillende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soorten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informatie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zoals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klinische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gegevens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mentale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gezondheidsscores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hersenscans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kan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helpen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voorspellen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hoe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zich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ontwikkelt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Hiervoor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robuuste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datasystemen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sterkere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verbindingen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tussen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praktijk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nodig</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31029E72"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Pr="006335F4" w:rsidR="006335F4" w:rsidP="004230C4" w:rsidRDefault="006335F4" w14:paraId="5C81D578"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stelt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daarom</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volgende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7BE7378E" w14:textId="77777777">
      <w:pPr>
        <w:numPr>
          <w:ilvl w:val="0"/>
          <w:numId w:val="15"/>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Gebruik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gedeelde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standaarden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om</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meten</w:t>
      </w:r>
    </w:p>
    <w:p w:rsidRPr="006335F4" w:rsidR="006335F4" w:rsidP="004230C4" w:rsidRDefault="006335F4" w14:paraId="704B300E" w14:textId="77777777">
      <w:pPr>
        <w:numPr>
          <w:ilvl w:val="0"/>
          <w:numId w:val="15"/>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Betrek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patiënten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bij</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onderzoeksopzet</w:t>
      </w:r>
    </w:p>
    <w:p w:rsidR="006335F4" w:rsidP="004230C4" w:rsidRDefault="006335F4" w14:paraId="0F7F7177" w14:textId="77777777">
      <w:pPr>
        <w:numPr>
          <w:ilvl w:val="0"/>
          <w:numId w:val="15"/>
        </w:num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Stem</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studies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af</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internationale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systemen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zoals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ICD-11</w:t>
      </w:r>
    </w:p>
    <w:p w:rsidRPr="006335F4" w:rsidR="006335F4" w:rsidP="004230C4" w:rsidRDefault="006335F4" w14:paraId="4588FAD0"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Pr="006335F4" w:rsidR="006335F4" w:rsidP="004230C4" w:rsidRDefault="006335F4" w14:paraId="273096C2"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Conclusie</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Van Strategie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naar</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b w:val="1"/>
          <w:bCs w:val="1"/>
          <w:color w:val="000000" w:themeColor="text1" w:themeTint="FF" w:themeShade="FF"/>
          <w:sz w:val="24"/>
          <w:szCs w:val="24"/>
          <w:lang w:val="de-AT"/>
        </w:rPr>
        <w:t>Actie</w:t>
      </w:r>
    </w:p>
    <w:p w:rsidR="006335F4" w:rsidP="004230C4" w:rsidRDefault="006335F4" w14:paraId="0E14509E"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treft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miljoenen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mensen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 Europa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veroorzaakt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grote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persoonlijke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sociale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economische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problemen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Door nu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investeren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strategisch,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inclusief</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data-gedreven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onderzoeksraamwerk</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zoals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geschetst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-strategie —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kan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EU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langetermijnkosten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chronische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pijn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verlagen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zorgsystemen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versterken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haar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ambities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op</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gebied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van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sociale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rechtvaardigheid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economische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veerkracht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en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duurzame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volksgezondheid</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waarmaken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w:t>
      </w:r>
    </w:p>
    <w:p w:rsidRPr="006335F4" w:rsidR="006335F4" w:rsidP="004230C4" w:rsidRDefault="006335F4" w14:paraId="3A287AAD" w14:textId="7777777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p>
    <w:p w:rsidRPr="006335F4" w:rsidR="00276B89" w:rsidP="004230C4" w:rsidRDefault="006335F4" w14:paraId="071DB178" w14:textId="6A779597">
      <w:pPr>
        <w:spacing w:after="0" w:line="240" w:lineRule="auto"/>
        <w:jc w:val="both"/>
        <w:rPr>
          <w:rFonts w:ascii="Aptos" w:hAnsi="Aptos" w:eastAsia="Aptos" w:cs="Aptos" w:asciiTheme="minorAscii" w:hAnsiTheme="minorAscii" w:eastAsiaTheme="minorAscii" w:cstheme="minorAscii"/>
          <w:color w:val="000000" w:themeColor="text1" w:themeTint="FF" w:themeShade="FF"/>
          <w:sz w:val="24"/>
          <w:szCs w:val="24"/>
          <w:lang w:val="de-AT"/>
        </w:rPr>
      </w:pP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PRiSE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-strategie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biedt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hiervoor</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een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duidelijke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routekaart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De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volledige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onderzoeksstrategie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is</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te</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vinden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in </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het</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sidR="006335F4">
        <w:rPr>
          <w:rFonts w:ascii="Aptos" w:hAnsi="Aptos" w:eastAsia="Aptos" w:cs="Aptos" w:asciiTheme="minorAscii" w:hAnsiTheme="minorAscii" w:eastAsiaTheme="minorAscii" w:cstheme="minorAscii"/>
          <w:i w:val="1"/>
          <w:iCs w:val="1"/>
          <w:color w:val="000000" w:themeColor="text1" w:themeTint="FF" w:themeShade="FF"/>
          <w:sz w:val="24"/>
          <w:szCs w:val="24"/>
          <w:lang w:val="de-AT"/>
        </w:rPr>
        <w:t xml:space="preserve">European Journal </w:t>
      </w:r>
      <w:r w:rsidRPr="004230C4" w:rsidR="006335F4">
        <w:rPr>
          <w:rFonts w:ascii="Aptos" w:hAnsi="Aptos" w:eastAsia="Aptos" w:cs="Aptos" w:asciiTheme="minorAscii" w:hAnsiTheme="minorAscii" w:eastAsiaTheme="minorAscii" w:cstheme="minorAscii"/>
          <w:i w:val="1"/>
          <w:iCs w:val="1"/>
          <w:color w:val="000000" w:themeColor="text1" w:themeTint="FF" w:themeShade="FF"/>
          <w:sz w:val="24"/>
          <w:szCs w:val="24"/>
          <w:lang w:val="de-AT"/>
        </w:rPr>
        <w:t>of</w:t>
      </w:r>
      <w:r w:rsidRPr="004230C4" w:rsidR="006335F4">
        <w:rPr>
          <w:rFonts w:ascii="Aptos" w:hAnsi="Aptos" w:eastAsia="Aptos" w:cs="Aptos" w:asciiTheme="minorAscii" w:hAnsiTheme="minorAscii" w:eastAsiaTheme="minorAscii" w:cstheme="minorAscii"/>
          <w:i w:val="1"/>
          <w:iCs w:val="1"/>
          <w:color w:val="000000" w:themeColor="text1" w:themeTint="FF" w:themeShade="FF"/>
          <w:sz w:val="24"/>
          <w:szCs w:val="24"/>
          <w:lang w:val="de-AT"/>
        </w:rPr>
        <w:t xml:space="preserve"> Pain</w:t>
      </w:r>
      <w:r w:rsidRPr="004230C4" w:rsidR="006335F4">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hyperlink r:id="Rb5f45e875e7c4955">
        <w:r w:rsidRPr="004230C4" w:rsidR="006335F4">
          <w:rPr>
            <w:rStyle w:val="Hyperlink"/>
            <w:rFonts w:ascii="Aptos" w:hAnsi="Aptos" w:eastAsia="Aptos" w:cs="Aptos" w:asciiTheme="minorAscii" w:hAnsiTheme="minorAscii" w:eastAsiaTheme="minorAscii" w:cstheme="minorAscii"/>
            <w:color w:val="000000" w:themeColor="text1" w:themeTint="FF" w:themeShade="FF"/>
            <w:sz w:val="24"/>
            <w:szCs w:val="24"/>
            <w:lang w:val="de-AT"/>
          </w:rPr>
          <w:t>https://onlinelibrary.wiley.com/doi/full/10.1002/ejp.4767</w:t>
        </w:r>
      </w:hyperlink>
      <w:r w:rsidRPr="004230C4" w:rsidR="00D445B3">
        <w:rPr>
          <w:rFonts w:ascii="Aptos" w:hAnsi="Aptos" w:eastAsia="Aptos" w:cs="Aptos" w:asciiTheme="minorAscii" w:hAnsiTheme="minorAscii" w:eastAsiaTheme="minorAscii" w:cstheme="minorAscii"/>
          <w:color w:val="000000" w:themeColor="text1" w:themeTint="FF" w:themeShade="FF"/>
          <w:sz w:val="24"/>
          <w:szCs w:val="24"/>
          <w:lang w:val="de-AT"/>
        </w:rPr>
        <w:t xml:space="preserve"> </w:t>
      </w:r>
      <w:r w:rsidRPr="004230C4">
        <w:rPr>
          <w:rFonts w:ascii="Aptos" w:hAnsi="Aptos" w:eastAsia="Aptos" w:cs="Aptos" w:asciiTheme="minorAscii" w:hAnsiTheme="minorAscii" w:eastAsiaTheme="minorAscii" w:cstheme="minorAscii"/>
          <w:color w:val="000000" w:themeColor="text1" w:themeTint="FF" w:themeShade="FF"/>
          <w:sz w:val="24"/>
          <w:szCs w:val="24"/>
          <w:lang w:val="de-AT"/>
        </w:rPr>
        <w:br w:type="page"/>
      </w:r>
    </w:p>
    <w:p w:rsidRPr="004A34F7" w:rsidR="00F70667" w:rsidP="004230C4" w:rsidRDefault="00F70667" w14:paraId="0E7E9351" w14:textId="6080852D">
      <w:pPr>
        <w:pStyle w:val="Heading3"/>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F70667">
        <w:rPr>
          <w:rFonts w:ascii="Aptos" w:hAnsi="Aptos" w:eastAsia="Aptos" w:cs="Aptos" w:asciiTheme="minorAscii" w:hAnsiTheme="minorAscii" w:eastAsiaTheme="minorAscii" w:cstheme="minorAscii"/>
          <w:color w:val="000000" w:themeColor="text1" w:themeTint="FF" w:themeShade="FF"/>
          <w:sz w:val="24"/>
          <w:szCs w:val="24"/>
        </w:rPr>
        <w:t>References</w:t>
      </w:r>
    </w:p>
    <w:p w:rsidRPr="004A34F7" w:rsidR="00543C8A" w:rsidP="004230C4" w:rsidRDefault="00543C8A" w14:paraId="167138BE" w14:textId="34AF94AC">
      <w:pPr>
        <w:jc w:val="both"/>
        <w:rPr>
          <w:rFonts w:ascii="Aptos" w:hAnsi="Aptos" w:eastAsia="Aptos" w:cs="Aptos" w:asciiTheme="minorAscii" w:hAnsiTheme="minorAscii" w:eastAsiaTheme="minorAscii" w:cstheme="minorAscii"/>
          <w:color w:val="000000" w:themeColor="text1" w:themeTint="FF" w:themeShade="FF"/>
          <w:sz w:val="24"/>
          <w:szCs w:val="24"/>
        </w:rPr>
      </w:pPr>
      <w:r>
        <w:fldChar w:fldCharType="begin"/>
      </w:r>
      <w:r>
        <w:instrText xml:space="preserve"> ADDIN EN.REFLIST </w:instrText>
      </w:r>
      <w:r>
        <w:fldChar w:fldCharType="separate"/>
      </w:r>
      <w:r>
        <w:fldChar w:fldCharType="end"/>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Berger, Sara E, and Alexis T Baria. "Assessing Pain Research: A Narrative Review of Emerging Pain Methods, Their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Technosocial</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Implications, and Opportunities for Multidisciplinary Approaches." Frontiers in Pain Research 3 (2022): 896276.</w:t>
      </w:r>
    </w:p>
    <w:p w:rsidRPr="004A34F7" w:rsidR="00543C8A" w:rsidP="004230C4" w:rsidRDefault="00543C8A" w14:paraId="109A8EFE"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004230C4" w:rsidRDefault="00543C8A" w14:paraId="146C6212"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Cohen, Steven P, Lene Vase, and William M Hooten. "Chronic Pain: An Update on Burden, Best Practices, and New Advances." The Lancet 397, no. 10289 (2021): 2082-97.</w:t>
      </w:r>
    </w:p>
    <w:p w:rsidRPr="004A34F7" w:rsidR="00543C8A" w:rsidP="004230C4" w:rsidRDefault="00543C8A" w14:paraId="1CFAFE12"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Deckert, Stefanie, U Kaiser, Christian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Kopkow</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F Trautmann, Rainer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Sabatowski</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and JJEJOP Schmitt. "A Systematic Review of the Outcomes Reported in Multimodal Pain Therapy for Chronic Pain." European journal of pain 20, no. 1 (2016): 51-63.</w:t>
      </w:r>
    </w:p>
    <w:p w:rsidRPr="004A34F7" w:rsidR="00543C8A" w:rsidP="004230C4" w:rsidRDefault="00543C8A" w14:paraId="63F1AE7C"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Gatchel, Robert J, Yuan Bo Peng, Madelon L Peters, Perry N Fuchs, and Dennis C Turk. "The Biopsychosocial Approach to Chronic Pain: Scientific Advances and Future Directions." Psychological bulletin 133, no. 4 (2007): 581.</w:t>
      </w:r>
    </w:p>
    <w:p w:rsidRPr="004A34F7" w:rsidR="00543C8A" w:rsidP="004230C4" w:rsidRDefault="00543C8A" w14:paraId="49BFC2DB"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Huang, Yilong,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Chunli</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Li, Jiaxin Chen, Zhongwei Wang,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Derong</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Zhao, Lei Yang,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Zhenguang</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Zhang,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Yuanming</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Jiang,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Xiaolina</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Zhang, and Bo He. "A Multidimensional Regression Model for Predicting Recurrence in Chronic Low Back Pain." European journal of pain 29, no. 3 (2025): e4793.</w:t>
      </w:r>
    </w:p>
    <w:p w:rsidRPr="004A34F7" w:rsidR="00543C8A" w:rsidP="004230C4" w:rsidRDefault="00543C8A" w14:paraId="5CA33668"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Mäntyselkä</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Pekka T, Esko A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Kumpusalo</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Riitta S Ahonen, and Jorma K Takala. "Direct and Indirect Costs of Managing Patients with Musculoskeletal Pain—Challenge for Health Care." European journal of pain 6, no. 2 (2002): 141-48.</w:t>
      </w:r>
    </w:p>
    <w:p w:rsidRPr="004A34F7" w:rsidR="00543C8A" w:rsidP="004230C4" w:rsidRDefault="00543C8A" w14:paraId="7C6B0E5E"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Mouraux</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André, Kirsty Bannister, Susanne Becker, David P Finn, Gisèle Pickering, Esther Pogatzki</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Zahn, and Thomas Graven</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Nielsen. "Challenges and Opportunities in Translational Pain Research</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an Opinion Paper of the Working Group on Translational Pain Research of the European Pain Federation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Efic</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European journal of pain 25, no. 4 (2021): 731-56.</w:t>
      </w:r>
    </w:p>
    <w:p w:rsidRPr="004A34F7" w:rsidR="00543C8A" w:rsidP="004230C4" w:rsidRDefault="00543C8A" w14:paraId="32131D24"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004230C4" w:rsidRDefault="00543C8A" w14:paraId="2251C49F"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Phillips, Ceri J. "The Cost and Burden of Chronic Pain." Reviews in pain 3, no. 1 (2009): 2-5.</w:t>
      </w:r>
    </w:p>
    <w:p w:rsidRPr="004A34F7" w:rsidR="0013154B" w:rsidP="004230C4" w:rsidRDefault="0013154B" w14:paraId="0A837FAB"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13154B">
        <w:rPr>
          <w:rFonts w:ascii="Aptos" w:hAnsi="Aptos" w:eastAsia="Aptos" w:cs="Aptos" w:asciiTheme="minorAscii" w:hAnsiTheme="minorAscii" w:eastAsiaTheme="minorAscii" w:cstheme="minorAscii"/>
          <w:color w:val="000000" w:themeColor="text1" w:themeTint="FF" w:themeShade="FF"/>
          <w:sz w:val="24"/>
          <w:szCs w:val="24"/>
        </w:rPr>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004230C4" w:rsidRDefault="00543C8A" w14:paraId="73DDD032" w14:textId="7D5A412E">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Stubhaug</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Audun, Johan Liseth Hansen, Sara Hallberg, Anders Gustavsson, Anne Elise Eggen, and Christopher Sivert Nielsen. "The Costs of Chronic Pain—Long</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Term Estimates." European journal of pain 28, no. 6 (2024): 960-77.</w:t>
      </w:r>
    </w:p>
    <w:p w:rsidRPr="004A34F7" w:rsidR="00543C8A" w:rsidP="004230C4" w:rsidRDefault="00543C8A" w14:paraId="1F88F245" w14:textId="77777777">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Treede</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Rolf-Detlef, Winfried Rief, Antonia Barke, Qasim Aziz, Michael I Bennett, Rafael Benoliel, Milton Cohen, Stefan Evers, Nanna B Finnerup, and Michael B First. "Chronic Pain as a Symptom or a Disease: The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Iasp</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Classification of Chronic Pain for the International Classification of Diseases (Icd-11)." Pain 160, no. 1 (2019): 19-27.</w:t>
      </w:r>
    </w:p>
    <w:p w:rsidRPr="004A34F7" w:rsidR="00543C8A" w:rsidP="004230C4" w:rsidRDefault="00543C8A" w14:paraId="4D091DAE" w14:textId="172655A0">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Tuyl, L, N Zinger, and I Heide. "Scoping Study on Evidence to Tackle High-Burden under-Researched Medical Conditions–Discussion Paper." Publications Office of the European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Union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2023).</w:t>
      </w:r>
    </w:p>
    <w:p w:rsidRPr="004A34F7" w:rsidR="00EF406D" w:rsidP="004230C4" w:rsidRDefault="00543C8A" w14:paraId="0BB11476" w14:textId="71C47765">
      <w:pPr>
        <w:spacing w:line="240" w:lineRule="auto"/>
        <w:jc w:val="both"/>
        <w:rPr>
          <w:rFonts w:ascii="Aptos" w:hAnsi="Aptos" w:eastAsia="Aptos" w:cs="Aptos" w:asciiTheme="minorAscii" w:hAnsiTheme="minorAscii" w:eastAsiaTheme="minorAscii" w:cstheme="minorAscii"/>
          <w:color w:val="000000" w:themeColor="text1" w:themeTint="FF" w:themeShade="FF"/>
          <w:sz w:val="24"/>
          <w:szCs w:val="24"/>
        </w:rPr>
      </w:pP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Vos, Theo, Stephen S Lim, Cristiana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Abbafati</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Kaja M Abbas, Mohammad Abbasi, Mitra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Abbasifard</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Mohsen Abbasi-</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Kangevari</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Hedayat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Abbastabar</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xml:space="preserve">, Foad Abd-Allah, and Ahmed </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Abdelalim</w:t>
      </w:r>
      <w:r w:rsidRPr="004230C4" w:rsidR="00543C8A">
        <w:rPr>
          <w:rFonts w:ascii="Aptos" w:hAnsi="Aptos" w:eastAsia="Aptos" w:cs="Aptos" w:asciiTheme="minorAscii" w:hAnsiTheme="minorAscii" w:eastAsiaTheme="minorAscii" w:cstheme="minorAscii"/>
          <w:color w:val="000000" w:themeColor="text1" w:themeTint="FF" w:themeShade="FF"/>
          <w:sz w:val="24"/>
          <w:szCs w:val="24"/>
        </w:rPr>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6438" w:rsidP="00F52239" w:rsidRDefault="00546438" w14:paraId="5B92A047" w14:textId="77777777">
      <w:pPr>
        <w:spacing w:after="0" w:line="240" w:lineRule="auto"/>
      </w:pPr>
      <w:r>
        <w:separator/>
      </w:r>
    </w:p>
  </w:endnote>
  <w:endnote w:type="continuationSeparator" w:id="0">
    <w:p w:rsidR="00546438" w:rsidP="00F52239" w:rsidRDefault="00546438" w14:paraId="75DCDD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6438" w:rsidP="00F52239" w:rsidRDefault="00546438" w14:paraId="7CE7DAE5" w14:textId="77777777">
      <w:pPr>
        <w:spacing w:after="0" w:line="240" w:lineRule="auto"/>
      </w:pPr>
      <w:r>
        <w:separator/>
      </w:r>
    </w:p>
  </w:footnote>
  <w:footnote w:type="continuationSeparator" w:id="0">
    <w:p w:rsidR="00546438" w:rsidP="00F52239" w:rsidRDefault="00546438" w14:paraId="634C028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6F006C3"/>
    <w:multiLevelType w:val="multilevel"/>
    <w:tmpl w:val="50684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88104E6"/>
    <w:multiLevelType w:val="multilevel"/>
    <w:tmpl w:val="4BFA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7DC1F81"/>
    <w:multiLevelType w:val="multilevel"/>
    <w:tmpl w:val="914E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8BF0207"/>
    <w:multiLevelType w:val="multilevel"/>
    <w:tmpl w:val="0258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7184278">
    <w:abstractNumId w:val="2"/>
  </w:num>
  <w:num w:numId="2" w16cid:durableId="1377466987">
    <w:abstractNumId w:val="4"/>
  </w:num>
  <w:num w:numId="3" w16cid:durableId="417405487">
    <w:abstractNumId w:val="7"/>
  </w:num>
  <w:num w:numId="4" w16cid:durableId="1466005000">
    <w:abstractNumId w:val="11"/>
  </w:num>
  <w:num w:numId="5" w16cid:durableId="1125779405">
    <w:abstractNumId w:val="0"/>
  </w:num>
  <w:num w:numId="6" w16cid:durableId="1359575695">
    <w:abstractNumId w:val="1"/>
  </w:num>
  <w:num w:numId="7" w16cid:durableId="794327935">
    <w:abstractNumId w:val="13"/>
  </w:num>
  <w:num w:numId="8" w16cid:durableId="209347592">
    <w:abstractNumId w:val="3"/>
  </w:num>
  <w:num w:numId="9" w16cid:durableId="1558319965">
    <w:abstractNumId w:val="9"/>
  </w:num>
  <w:num w:numId="10" w16cid:durableId="87966829">
    <w:abstractNumId w:val="5"/>
  </w:num>
  <w:num w:numId="11" w16cid:durableId="1756977304">
    <w:abstractNumId w:val="8"/>
  </w:num>
  <w:num w:numId="12" w16cid:durableId="560407548">
    <w:abstractNumId w:val="14"/>
  </w:num>
  <w:num w:numId="13" w16cid:durableId="1074475711">
    <w:abstractNumId w:val="6"/>
  </w:num>
  <w:num w:numId="14" w16cid:durableId="2027095119">
    <w:abstractNumId w:val="10"/>
  </w:num>
  <w:num w:numId="15" w16cid:durableId="184830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13154B"/>
    <w:rsid w:val="00174FC4"/>
    <w:rsid w:val="00192822"/>
    <w:rsid w:val="002501F2"/>
    <w:rsid w:val="00255F7A"/>
    <w:rsid w:val="0026631C"/>
    <w:rsid w:val="00276B89"/>
    <w:rsid w:val="00283C27"/>
    <w:rsid w:val="002D7F31"/>
    <w:rsid w:val="00374F85"/>
    <w:rsid w:val="004230C4"/>
    <w:rsid w:val="00451BAD"/>
    <w:rsid w:val="00461D23"/>
    <w:rsid w:val="004826EB"/>
    <w:rsid w:val="004A34F7"/>
    <w:rsid w:val="004E08CB"/>
    <w:rsid w:val="00500F5D"/>
    <w:rsid w:val="00543C8A"/>
    <w:rsid w:val="00546438"/>
    <w:rsid w:val="00551902"/>
    <w:rsid w:val="005576E6"/>
    <w:rsid w:val="00594415"/>
    <w:rsid w:val="005D65E1"/>
    <w:rsid w:val="005F217E"/>
    <w:rsid w:val="006335F4"/>
    <w:rsid w:val="006365D0"/>
    <w:rsid w:val="006A0159"/>
    <w:rsid w:val="007F2C0A"/>
    <w:rsid w:val="00866826"/>
    <w:rsid w:val="008762D7"/>
    <w:rsid w:val="00964F6E"/>
    <w:rsid w:val="009A4F68"/>
    <w:rsid w:val="00A62D7C"/>
    <w:rsid w:val="00AA3C58"/>
    <w:rsid w:val="00AB623C"/>
    <w:rsid w:val="00B3578C"/>
    <w:rsid w:val="00B65A9D"/>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3F55E2AC"/>
    <w:rsid w:val="47D38E99"/>
    <w:rsid w:val="540F024A"/>
    <w:rsid w:val="5CE1ACC1"/>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nlinelibrary.wiley.com/doi/full/10.1002/ejp.4767" TargetMode="External" Id="Rb5f45e875e7c495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Marta Bartnicka</lastModifiedBy>
  <revision>5</revision>
  <dcterms:created xsi:type="dcterms:W3CDTF">2025-07-15T08:40:00.0000000Z</dcterms:created>
  <dcterms:modified xsi:type="dcterms:W3CDTF">2025-08-25T09:41:35.8827969Z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